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  <w:r w:rsidRPr="00D3637A">
        <w:rPr>
          <w:sz w:val="28"/>
          <w:szCs w:val="28"/>
        </w:rPr>
        <w:t>Белорусский Государственный Университет</w:t>
      </w: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  <w:r w:rsidRPr="00D3637A">
        <w:rPr>
          <w:sz w:val="28"/>
          <w:szCs w:val="28"/>
        </w:rPr>
        <w:t xml:space="preserve"> Информатики и Радиоэлектроники</w:t>
      </w:r>
      <w:r>
        <w:rPr>
          <w:sz w:val="28"/>
          <w:szCs w:val="28"/>
        </w:rPr>
        <w:br/>
        <w:t>Кафедра физики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2819A3" w:rsidRDefault="00D3637A" w:rsidP="00D3637A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Лабораторная работа № 2.4</w:t>
      </w:r>
      <w:r>
        <w:rPr>
          <w:sz w:val="28"/>
          <w:szCs w:val="28"/>
        </w:rPr>
        <w:br/>
      </w:r>
      <w:r w:rsidRPr="00EC5656">
        <w:rPr>
          <w:b/>
          <w:i/>
          <w:sz w:val="28"/>
          <w:szCs w:val="28"/>
        </w:rPr>
        <w:t>Изучение температурной зависимости диэлектрической проницаемости сегнетоэлектриков вблизи температуры фазового перехода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Выполнил:                                                                                                         Проверила:</w:t>
      </w:r>
      <w:r>
        <w:rPr>
          <w:sz w:val="28"/>
          <w:szCs w:val="28"/>
        </w:rPr>
        <w:br/>
      </w:r>
      <w:proofErr w:type="spellStart"/>
      <w:r w:rsidR="00F73927">
        <w:rPr>
          <w:sz w:val="28"/>
          <w:szCs w:val="28"/>
        </w:rPr>
        <w:t>ххххх</w:t>
      </w:r>
      <w:proofErr w:type="spellEnd"/>
      <w:r w:rsidR="00F73927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асс. </w:t>
      </w:r>
      <w:proofErr w:type="spellStart"/>
      <w:r>
        <w:rPr>
          <w:sz w:val="28"/>
          <w:szCs w:val="28"/>
        </w:rPr>
        <w:t>Полочанская</w:t>
      </w:r>
      <w:proofErr w:type="spellEnd"/>
      <w:r>
        <w:rPr>
          <w:sz w:val="28"/>
          <w:szCs w:val="28"/>
        </w:rPr>
        <w:t xml:space="preserve"> Т. И.</w:t>
      </w: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rPr>
          <w:sz w:val="28"/>
          <w:szCs w:val="28"/>
        </w:rPr>
      </w:pPr>
    </w:p>
    <w:p w:rsidR="00D3637A" w:rsidRDefault="00D3637A" w:rsidP="00D3637A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Минск 2012  </w:t>
      </w:r>
    </w:p>
    <w:p w:rsidR="00EC5656" w:rsidRPr="000C29C4" w:rsidRDefault="00EC5656" w:rsidP="00EC5656">
      <w:pPr>
        <w:spacing w:after="0" w:line="240" w:lineRule="atLeast"/>
        <w:rPr>
          <w:b/>
          <w:sz w:val="28"/>
          <w:szCs w:val="28"/>
        </w:rPr>
      </w:pPr>
      <w:r w:rsidRPr="000C29C4">
        <w:rPr>
          <w:b/>
          <w:sz w:val="28"/>
          <w:szCs w:val="28"/>
        </w:rPr>
        <w:lastRenderedPageBreak/>
        <w:t>Цель работа:</w:t>
      </w:r>
    </w:p>
    <w:p w:rsidR="00EC5656" w:rsidRPr="00EC5656" w:rsidRDefault="00EC5656" w:rsidP="00EC5656">
      <w:pPr>
        <w:spacing w:after="0" w:line="240" w:lineRule="atLeast"/>
        <w:rPr>
          <w:sz w:val="28"/>
          <w:szCs w:val="28"/>
        </w:rPr>
      </w:pPr>
      <w:r w:rsidRPr="00EC5656">
        <w:rPr>
          <w:sz w:val="28"/>
          <w:szCs w:val="28"/>
        </w:rPr>
        <w:t xml:space="preserve">1. Изучить поведение диэлектрической </w:t>
      </w:r>
      <w:r>
        <w:rPr>
          <w:sz w:val="28"/>
          <w:szCs w:val="28"/>
        </w:rPr>
        <w:t xml:space="preserve">проницаемости сегнетоэлектриков </w:t>
      </w:r>
      <w:r w:rsidRPr="00EC5656">
        <w:rPr>
          <w:sz w:val="28"/>
          <w:szCs w:val="28"/>
        </w:rPr>
        <w:t xml:space="preserve">вблизи температуры фазового перехода. </w:t>
      </w:r>
    </w:p>
    <w:p w:rsidR="003C555A" w:rsidRDefault="00EC5656" w:rsidP="003C555A">
      <w:pPr>
        <w:spacing w:after="0" w:line="240" w:lineRule="atLeast"/>
        <w:rPr>
          <w:b/>
          <w:sz w:val="28"/>
          <w:szCs w:val="28"/>
        </w:rPr>
      </w:pPr>
      <w:r w:rsidRPr="00EC5656">
        <w:rPr>
          <w:sz w:val="28"/>
          <w:szCs w:val="28"/>
        </w:rPr>
        <w:t>2. Определить постоянную Кюри-Вейсса и тип фазового перехода.</w:t>
      </w:r>
      <w:r>
        <w:rPr>
          <w:sz w:val="28"/>
          <w:szCs w:val="28"/>
        </w:rPr>
        <w:br/>
      </w:r>
      <w:r w:rsidR="003C555A">
        <w:rPr>
          <w:b/>
          <w:sz w:val="28"/>
          <w:szCs w:val="28"/>
        </w:rPr>
        <w:t xml:space="preserve">Методические </w:t>
      </w:r>
      <w:r w:rsidR="000C29C4" w:rsidRPr="000C29C4">
        <w:rPr>
          <w:b/>
          <w:sz w:val="28"/>
          <w:szCs w:val="28"/>
        </w:rPr>
        <w:t>обоснования:</w:t>
      </w:r>
    </w:p>
    <w:p w:rsidR="00D3637A" w:rsidRDefault="000C29C4" w:rsidP="003C555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0C29C4">
        <w:rPr>
          <w:sz w:val="28"/>
          <w:szCs w:val="28"/>
        </w:rPr>
        <w:t>Фазовые переходы (ФП) наблюдаются для многих веще</w:t>
      </w:r>
      <w:proofErr w:type="gramStart"/>
      <w:r w:rsidRPr="000C29C4">
        <w:rPr>
          <w:sz w:val="28"/>
          <w:szCs w:val="28"/>
        </w:rPr>
        <w:t>ств пр</w:t>
      </w:r>
      <w:proofErr w:type="gramEnd"/>
      <w:r w:rsidRPr="000C29C4">
        <w:rPr>
          <w:sz w:val="28"/>
          <w:szCs w:val="28"/>
        </w:rPr>
        <w:t>и определенной температуре.</w:t>
      </w:r>
      <w:r w:rsidRPr="000C29C4">
        <w:t xml:space="preserve"> </w:t>
      </w:r>
      <w:r w:rsidRPr="000C29C4">
        <w:rPr>
          <w:sz w:val="28"/>
          <w:szCs w:val="28"/>
        </w:rPr>
        <w:t xml:space="preserve">Переходы в твердом теле между различными фазами вещества, обладающими разными физическими </w:t>
      </w:r>
      <w:r>
        <w:rPr>
          <w:sz w:val="28"/>
          <w:szCs w:val="28"/>
        </w:rPr>
        <w:t>свойствами, очевидно должны про</w:t>
      </w:r>
      <w:r w:rsidRPr="000C29C4">
        <w:rPr>
          <w:sz w:val="28"/>
          <w:szCs w:val="28"/>
        </w:rPr>
        <w:t>исходить с перестройкой кристаллической структуры. Если такая перестройка в</w:t>
      </w:r>
      <w:r>
        <w:rPr>
          <w:sz w:val="28"/>
          <w:szCs w:val="28"/>
        </w:rPr>
        <w:t xml:space="preserve"> </w:t>
      </w:r>
      <w:r w:rsidRPr="000C29C4">
        <w:rPr>
          <w:sz w:val="28"/>
          <w:szCs w:val="28"/>
        </w:rPr>
        <w:t xml:space="preserve">твердом теле  (при определенной температуре) происходит скачком, то говорят, </w:t>
      </w:r>
      <w:r>
        <w:rPr>
          <w:sz w:val="28"/>
          <w:szCs w:val="28"/>
        </w:rPr>
        <w:t xml:space="preserve"> </w:t>
      </w:r>
      <w:r w:rsidRPr="000C29C4">
        <w:rPr>
          <w:sz w:val="28"/>
          <w:szCs w:val="28"/>
        </w:rPr>
        <w:t>что происходит фазовый переход первого рода.</w:t>
      </w:r>
      <w:r>
        <w:rPr>
          <w:sz w:val="28"/>
          <w:szCs w:val="28"/>
        </w:rPr>
        <w:t xml:space="preserve"> </w:t>
      </w:r>
      <w:r w:rsidRPr="000C29C4">
        <w:rPr>
          <w:sz w:val="28"/>
          <w:szCs w:val="28"/>
        </w:rPr>
        <w:t>Однако наряду с таким скачкообразным изменением состояния кристаллической решетки возможен и другой</w:t>
      </w:r>
      <w:r>
        <w:rPr>
          <w:sz w:val="28"/>
          <w:szCs w:val="28"/>
        </w:rPr>
        <w:t xml:space="preserve"> </w:t>
      </w:r>
      <w:r w:rsidRPr="000C29C4">
        <w:rPr>
          <w:sz w:val="28"/>
          <w:szCs w:val="28"/>
        </w:rPr>
        <w:t>тип перестройки структуры –  непрерывный.  Непрерывный переход из одной</w:t>
      </w:r>
      <w:r>
        <w:rPr>
          <w:sz w:val="28"/>
          <w:szCs w:val="28"/>
        </w:rPr>
        <w:t xml:space="preserve"> кристаллической модификации (с </w:t>
      </w:r>
      <w:r w:rsidRPr="000C29C4">
        <w:rPr>
          <w:sz w:val="28"/>
          <w:szCs w:val="28"/>
        </w:rPr>
        <w:t>определен</w:t>
      </w:r>
      <w:r>
        <w:rPr>
          <w:sz w:val="28"/>
          <w:szCs w:val="28"/>
        </w:rPr>
        <w:t>ным расположением атомов) в дру</w:t>
      </w:r>
      <w:r w:rsidRPr="000C29C4">
        <w:rPr>
          <w:sz w:val="28"/>
          <w:szCs w:val="28"/>
        </w:rPr>
        <w:t>гую (с другим расположением) называется фазовым переходом второго рода.</w:t>
      </w:r>
    </w:p>
    <w:p w:rsidR="000C29C4" w:rsidRDefault="000C29C4" w:rsidP="003C555A">
      <w:pPr>
        <w:spacing w:after="0" w:line="240" w:lineRule="atLeast"/>
        <w:jc w:val="both"/>
        <w:rPr>
          <w:sz w:val="28"/>
          <w:szCs w:val="28"/>
        </w:rPr>
      </w:pPr>
      <w:r w:rsidRPr="000C29C4">
        <w:rPr>
          <w:sz w:val="28"/>
          <w:szCs w:val="28"/>
        </w:rPr>
        <w:t>Фазовые переходы второго рода чаще всего вс</w:t>
      </w:r>
      <w:r w:rsidR="003C555A">
        <w:rPr>
          <w:sz w:val="28"/>
          <w:szCs w:val="28"/>
        </w:rPr>
        <w:t>тречаются в полярных ди</w:t>
      </w:r>
      <w:r w:rsidRPr="000C29C4">
        <w:rPr>
          <w:sz w:val="28"/>
          <w:szCs w:val="28"/>
        </w:rPr>
        <w:t>электриках, например, сегнет</w:t>
      </w:r>
      <w:r w:rsidR="003C555A">
        <w:rPr>
          <w:sz w:val="28"/>
          <w:szCs w:val="28"/>
        </w:rPr>
        <w:t xml:space="preserve">оэлектриках. Сегнетоэлектрики - </w:t>
      </w:r>
      <w:r w:rsidRPr="000C29C4">
        <w:rPr>
          <w:sz w:val="28"/>
          <w:szCs w:val="28"/>
        </w:rPr>
        <w:t>кристаллические</w:t>
      </w:r>
      <w:r w:rsidR="003C555A">
        <w:rPr>
          <w:sz w:val="28"/>
          <w:szCs w:val="28"/>
        </w:rPr>
        <w:t xml:space="preserve"> </w:t>
      </w:r>
      <w:r w:rsidRPr="000C29C4">
        <w:rPr>
          <w:sz w:val="28"/>
          <w:szCs w:val="28"/>
        </w:rPr>
        <w:t>вещества,  у которых спонтанная поляризация может менять свое направлений</w:t>
      </w:r>
      <w:r w:rsidR="003C555A">
        <w:rPr>
          <w:sz w:val="28"/>
          <w:szCs w:val="28"/>
        </w:rPr>
        <w:t xml:space="preserve"> </w:t>
      </w:r>
      <w:r w:rsidRPr="000C29C4">
        <w:rPr>
          <w:sz w:val="28"/>
          <w:szCs w:val="28"/>
        </w:rPr>
        <w:t>под действием внешнего электрического поля.</w:t>
      </w:r>
    </w:p>
    <w:p w:rsidR="000C29C4" w:rsidRPr="000C29C4" w:rsidRDefault="000C29C4" w:rsidP="003C555A">
      <w:pPr>
        <w:spacing w:after="0" w:line="240" w:lineRule="atLeast"/>
        <w:jc w:val="both"/>
        <w:rPr>
          <w:sz w:val="28"/>
          <w:szCs w:val="28"/>
        </w:rPr>
      </w:pPr>
      <w:r w:rsidRPr="000C29C4">
        <w:rPr>
          <w:sz w:val="28"/>
          <w:szCs w:val="28"/>
        </w:rPr>
        <w:t>Значения диэлектрической проницаемости</w:t>
      </w:r>
      <w:r w:rsidR="003C555A">
        <w:rPr>
          <w:sz w:val="28"/>
          <w:szCs w:val="28"/>
        </w:rPr>
        <w:t xml:space="preserve"> сегнетоэлектрических кристал</w:t>
      </w:r>
      <w:r w:rsidRPr="000C29C4">
        <w:rPr>
          <w:sz w:val="28"/>
          <w:szCs w:val="28"/>
        </w:rPr>
        <w:t>лов велики, особенно при приближении крист</w:t>
      </w:r>
      <w:r w:rsidR="003C555A">
        <w:rPr>
          <w:sz w:val="28"/>
          <w:szCs w:val="28"/>
        </w:rPr>
        <w:t>алла к температуре фазового пе</w:t>
      </w:r>
      <w:r w:rsidRPr="000C29C4">
        <w:rPr>
          <w:sz w:val="28"/>
          <w:szCs w:val="28"/>
        </w:rPr>
        <w:t xml:space="preserve">рехода. Большие значения   ε   традиционно </w:t>
      </w:r>
      <w:r w:rsidR="003C555A">
        <w:rPr>
          <w:sz w:val="28"/>
          <w:szCs w:val="28"/>
        </w:rPr>
        <w:t>связывают с подвижностью домен</w:t>
      </w:r>
      <w:r w:rsidRPr="000C29C4">
        <w:rPr>
          <w:sz w:val="28"/>
          <w:szCs w:val="28"/>
        </w:rPr>
        <w:t>ной структуры сегнетоэлектриков во внешне</w:t>
      </w:r>
      <w:r w:rsidR="003C555A">
        <w:rPr>
          <w:sz w:val="28"/>
          <w:szCs w:val="28"/>
        </w:rPr>
        <w:t>м электрическом поле.  Темпера</w:t>
      </w:r>
      <w:r w:rsidRPr="000C29C4">
        <w:rPr>
          <w:sz w:val="28"/>
          <w:szCs w:val="28"/>
        </w:rPr>
        <w:t>турная зависимость диэлектрической п</w:t>
      </w:r>
      <w:r w:rsidR="003C555A">
        <w:rPr>
          <w:sz w:val="28"/>
          <w:szCs w:val="28"/>
        </w:rPr>
        <w:t>роницаемости выше точки Кюри</w:t>
      </w:r>
      <w:proofErr w:type="gramStart"/>
      <w:r w:rsidR="003C555A">
        <w:rPr>
          <w:sz w:val="28"/>
          <w:szCs w:val="28"/>
        </w:rPr>
        <w:t xml:space="preserve"> </w:t>
      </w:r>
      <w:r w:rsidRPr="000C29C4">
        <w:rPr>
          <w:sz w:val="28"/>
          <w:szCs w:val="28"/>
        </w:rPr>
        <w:t>Т</w:t>
      </w:r>
      <w:proofErr w:type="gramEnd"/>
      <w:r w:rsidRPr="000C29C4">
        <w:rPr>
          <w:sz w:val="28"/>
          <w:szCs w:val="28"/>
        </w:rPr>
        <w:t>с</w:t>
      </w:r>
      <w:r w:rsidR="003C555A">
        <w:rPr>
          <w:sz w:val="28"/>
          <w:szCs w:val="28"/>
        </w:rPr>
        <w:t xml:space="preserve">, </w:t>
      </w:r>
      <w:r w:rsidRPr="000C29C4">
        <w:rPr>
          <w:sz w:val="28"/>
          <w:szCs w:val="28"/>
        </w:rPr>
        <w:t>описывается законом Кюри-Вейсса:</w:t>
      </w:r>
    </w:p>
    <w:p w:rsidR="000C29C4" w:rsidRDefault="000C29C4" w:rsidP="003C555A">
      <w:pPr>
        <w:spacing w:after="0" w:line="240" w:lineRule="atLeast"/>
        <w:jc w:val="both"/>
        <w:rPr>
          <w:sz w:val="28"/>
          <w:szCs w:val="28"/>
        </w:rPr>
      </w:pPr>
      <w:r w:rsidRPr="000C29C4">
        <w:rPr>
          <w:sz w:val="40"/>
          <w:szCs w:val="40"/>
        </w:rPr>
        <w:t xml:space="preserve">            </w:t>
      </w:r>
      <m:oMath>
        <m:r>
          <w:rPr>
            <w:rFonts w:ascii="Cambria Math" w:hAnsi="Cambria Math"/>
            <w:sz w:val="40"/>
            <w:szCs w:val="40"/>
          </w:rPr>
          <m:t>ε=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с</m:t>
                </m:r>
              </m:sub>
            </m:sSub>
          </m:den>
        </m:f>
      </m:oMath>
      <w:r w:rsidRPr="000C29C4">
        <w:rPr>
          <w:sz w:val="40"/>
          <w:szCs w:val="40"/>
        </w:rPr>
        <w:t xml:space="preserve"> </w:t>
      </w:r>
      <w:r w:rsidR="003C555A">
        <w:rPr>
          <w:sz w:val="40"/>
          <w:szCs w:val="40"/>
        </w:rPr>
        <w:t xml:space="preserve">, </w:t>
      </w:r>
      <w:r w:rsidR="003C555A" w:rsidRPr="003C555A">
        <w:rPr>
          <w:sz w:val="28"/>
          <w:szCs w:val="28"/>
        </w:rPr>
        <w:t>где</w:t>
      </w:r>
      <w:proofErr w:type="gramStart"/>
      <w:r w:rsidR="003C555A" w:rsidRPr="003C555A">
        <w:rPr>
          <w:sz w:val="28"/>
          <w:szCs w:val="28"/>
        </w:rPr>
        <w:t xml:space="preserve">  С</w:t>
      </w:r>
      <w:proofErr w:type="gramEnd"/>
      <w:r w:rsidR="003C555A" w:rsidRPr="003C555A">
        <w:rPr>
          <w:sz w:val="28"/>
          <w:szCs w:val="28"/>
        </w:rPr>
        <w:t xml:space="preserve">  - постоянная Кюри;  Тс  – температура, при которой происходит фазовый</w:t>
      </w:r>
      <w:r w:rsidR="003C555A">
        <w:rPr>
          <w:sz w:val="28"/>
          <w:szCs w:val="28"/>
        </w:rPr>
        <w:t xml:space="preserve"> </w:t>
      </w:r>
      <w:r w:rsidR="003C555A" w:rsidRPr="003C555A">
        <w:rPr>
          <w:sz w:val="28"/>
          <w:szCs w:val="28"/>
        </w:rPr>
        <w:t>переход, связанный с возникновением или исчезновением спонтанной поляризации.</w:t>
      </w:r>
    </w:p>
    <w:p w:rsidR="003C555A" w:rsidRDefault="003C555A" w:rsidP="003C555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555A" w:rsidRPr="003C555A" w:rsidRDefault="003C555A" w:rsidP="003C555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</w:t>
      </w:r>
      <w:r w:rsidRPr="003C555A">
        <w:rPr>
          <w:sz w:val="28"/>
          <w:szCs w:val="28"/>
        </w:rPr>
        <w:t>мкость такого плоского конденсатора</w:t>
      </w:r>
      <w:r>
        <w:rPr>
          <w:sz w:val="28"/>
          <w:szCs w:val="28"/>
        </w:rPr>
        <w:t>:</w:t>
      </w:r>
    </w:p>
    <w:p w:rsidR="003C555A" w:rsidRDefault="003C555A" w:rsidP="000C29C4">
      <w:pPr>
        <w:spacing w:after="0" w:line="240" w:lineRule="atLeast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ε=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изм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м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S</m:t>
              </m:r>
            </m:den>
          </m:f>
        </m:oMath>
      </m:oMathPara>
    </w:p>
    <w:p w:rsidR="003C555A" w:rsidRPr="003C555A" w:rsidRDefault="003C555A" w:rsidP="003C555A">
      <w:pPr>
        <w:spacing w:after="0" w:line="240" w:lineRule="atLeast"/>
        <w:rPr>
          <w:sz w:val="28"/>
          <w:szCs w:val="28"/>
        </w:rPr>
      </w:pPr>
      <w:r w:rsidRPr="003C555A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</m:t>
            </m:r>
          </m:sub>
        </m:sSub>
      </m:oMath>
      <w:r w:rsidRPr="003C555A">
        <w:rPr>
          <w:sz w:val="28"/>
          <w:szCs w:val="28"/>
        </w:rPr>
        <w:t xml:space="preserve">  – измеряемая емкость;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Pr="003C555A">
        <w:rPr>
          <w:sz w:val="28"/>
          <w:szCs w:val="28"/>
        </w:rPr>
        <w:t xml:space="preserve">  – емкость монтажа;  </w:t>
      </w:r>
      <w:r w:rsidRPr="003C555A">
        <w:rPr>
          <w:sz w:val="28"/>
          <w:szCs w:val="28"/>
          <w:lang w:val="en-US"/>
        </w:rPr>
        <w:t>S</w:t>
      </w:r>
      <w:r w:rsidRPr="003C555A">
        <w:rPr>
          <w:sz w:val="28"/>
          <w:szCs w:val="28"/>
        </w:rPr>
        <w:t xml:space="preserve">  – площадь образца;  </w:t>
      </w:r>
      <w:r w:rsidRPr="003C555A">
        <w:rPr>
          <w:sz w:val="28"/>
          <w:szCs w:val="28"/>
          <w:lang w:val="en-US"/>
        </w:rPr>
        <w:t>d</w:t>
      </w:r>
      <w:r w:rsidRPr="003C555A">
        <w:rPr>
          <w:sz w:val="28"/>
          <w:szCs w:val="28"/>
        </w:rPr>
        <w:t xml:space="preserve">  – его толщина.</w:t>
      </w:r>
    </w:p>
    <w:p w:rsidR="003C555A" w:rsidRDefault="003C555A" w:rsidP="003C555A">
      <w:pPr>
        <w:spacing w:after="0" w:line="240" w:lineRule="atLeast"/>
        <w:rPr>
          <w:b/>
          <w:sz w:val="28"/>
          <w:szCs w:val="28"/>
        </w:rPr>
      </w:pPr>
      <w:r w:rsidRPr="003C555A">
        <w:rPr>
          <w:b/>
          <w:sz w:val="28"/>
          <w:szCs w:val="28"/>
        </w:rPr>
        <w:t>Рабочие формулы:</w:t>
      </w:r>
    </w:p>
    <w:p w:rsidR="003C555A" w:rsidRDefault="003C555A" w:rsidP="003C555A">
      <w:pPr>
        <w:spacing w:after="0" w:line="240" w:lineRule="atLeast"/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ε=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изм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м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S</m:t>
            </m:r>
          </m:den>
        </m:f>
      </m:oMath>
      <w:r w:rsidRPr="003C555A">
        <w:rPr>
          <w:rFonts w:eastAsiaTheme="minorEastAsia"/>
          <w:sz w:val="40"/>
          <w:szCs w:val="40"/>
        </w:rPr>
        <w:t xml:space="preserve">                                      </w:t>
      </w:r>
      <w:r w:rsidRPr="003C555A">
        <w:rPr>
          <w:sz w:val="40"/>
          <w:szCs w:val="40"/>
        </w:rPr>
        <w:t xml:space="preserve">   </w:t>
      </w:r>
      <m:oMath>
        <m:r>
          <w:rPr>
            <w:rFonts w:ascii="Cambria Math" w:hAnsi="Cambria Math"/>
            <w:sz w:val="40"/>
            <w:szCs w:val="40"/>
          </w:rPr>
          <m:t>ε=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с</m:t>
                </m:r>
              </m:sub>
            </m:sSub>
          </m:den>
        </m:f>
      </m:oMath>
    </w:p>
    <w:p w:rsidR="003C555A" w:rsidRDefault="003C555A" w:rsidP="003C555A">
      <w:pPr>
        <w:spacing w:after="0" w:line="240" w:lineRule="atLeast"/>
        <w:rPr>
          <w:rFonts w:eastAsiaTheme="minorEastAsia"/>
          <w:sz w:val="28"/>
          <w:szCs w:val="28"/>
        </w:rPr>
      </w:pPr>
    </w:p>
    <w:p w:rsidR="003C555A" w:rsidRDefault="003C555A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  <w:r w:rsidRPr="003C555A">
        <w:rPr>
          <w:rFonts w:eastAsiaTheme="minorEastAsia"/>
          <w:b/>
          <w:sz w:val="28"/>
          <w:szCs w:val="28"/>
        </w:rPr>
        <w:lastRenderedPageBreak/>
        <w:t>Таблица измерений и вычислений:</w:t>
      </w:r>
    </w:p>
    <w:tbl>
      <w:tblPr>
        <w:tblW w:w="6200" w:type="dxa"/>
        <w:tblInd w:w="90" w:type="dxa"/>
        <w:tblLook w:val="04A0"/>
      </w:tblPr>
      <w:tblGrid>
        <w:gridCol w:w="1240"/>
        <w:gridCol w:w="1240"/>
        <w:gridCol w:w="1240"/>
        <w:gridCol w:w="1240"/>
        <w:gridCol w:w="1240"/>
      </w:tblGrid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t</w:t>
            </w:r>
            <w:proofErr w:type="spellEnd"/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,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T, 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C(</w:t>
            </w:r>
            <w:proofErr w:type="spellStart"/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изм</w:t>
            </w:r>
            <w:proofErr w:type="spellEnd"/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), пФ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1/ε </w:t>
            </w:r>
            <w:proofErr w:type="spellStart"/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х</w:t>
            </w:r>
            <w:proofErr w:type="spellEnd"/>
            <w:r w:rsidRPr="003C555A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 0,001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7,94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7,68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7,33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6,71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6,35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5,96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5,23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4,86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4E43A8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  <w:r w:rsidR="003C555A"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4,21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3,84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3,48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3,13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2,77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2,43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1,71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1,34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1024,8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1451,1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0,68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3040,8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0,32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9939,3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2081,1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0,48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1041,5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1,44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508,2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1,96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2,54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3,15</w:t>
            </w:r>
          </w:p>
        </w:tc>
      </w:tr>
      <w:tr w:rsidR="003C555A" w:rsidRPr="003C555A" w:rsidTr="003C55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266,7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C555A" w:rsidRPr="003C555A" w:rsidRDefault="003C555A" w:rsidP="003C5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55A">
              <w:rPr>
                <w:rFonts w:ascii="Calibri" w:eastAsia="Times New Roman" w:hAnsi="Calibri" w:cs="Times New Roman"/>
                <w:color w:val="000000"/>
                <w:lang w:eastAsia="ru-RU"/>
              </w:rPr>
              <w:t>3,74</w:t>
            </w:r>
          </w:p>
        </w:tc>
      </w:tr>
    </w:tbl>
    <w:p w:rsidR="003C555A" w:rsidRDefault="003C555A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</w:p>
    <w:p w:rsidR="004E43A8" w:rsidRDefault="004E43A8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Графики:</w:t>
      </w:r>
    </w:p>
    <w:p w:rsidR="004E43A8" w:rsidRDefault="004E43A8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  <w:r w:rsidRPr="004E43A8">
        <w:rPr>
          <w:rFonts w:eastAsiaTheme="minorEastAsia"/>
          <w:b/>
          <w:noProof/>
          <w:sz w:val="28"/>
          <w:szCs w:val="28"/>
          <w:lang w:eastAsia="ru-RU"/>
        </w:rPr>
        <w:drawing>
          <wp:inline distT="0" distB="0" distL="0" distR="0">
            <wp:extent cx="4530648" cy="2252546"/>
            <wp:effectExtent l="19050" t="0" r="223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43A8" w:rsidRDefault="004E43A8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  <w:r w:rsidRPr="004E43A8">
        <w:rPr>
          <w:rFonts w:eastAsiaTheme="minorEastAsia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4170" cy="2520176"/>
            <wp:effectExtent l="19050" t="0" r="12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43A8" w:rsidRDefault="004E43A8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</w:p>
    <w:p w:rsidR="004E43A8" w:rsidRDefault="004E43A8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Ответ:</w:t>
      </w:r>
    </w:p>
    <w:p w:rsidR="004E43A8" w:rsidRDefault="004E43A8" w:rsidP="003C555A">
      <w:pPr>
        <w:spacing w:after="0" w:line="240" w:lineRule="atLeas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С=2,86*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Ф</m:t>
          </m:r>
        </m:oMath>
      </m:oMathPara>
    </w:p>
    <w:p w:rsidR="004E43A8" w:rsidRDefault="004E43A8" w:rsidP="003C555A">
      <w:pPr>
        <w:spacing w:after="0" w:line="240" w:lineRule="atLeast"/>
        <w:rPr>
          <w:rFonts w:eastAsiaTheme="minorEastAsia"/>
          <w:sz w:val="28"/>
          <w:szCs w:val="28"/>
        </w:rPr>
      </w:pPr>
    </w:p>
    <w:p w:rsidR="004E43A8" w:rsidRPr="004E43A8" w:rsidRDefault="004E43A8" w:rsidP="003C555A">
      <w:pPr>
        <w:spacing w:after="0" w:line="240" w:lineRule="atLeas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Вывод:</w:t>
      </w:r>
      <w:r>
        <w:rPr>
          <w:rFonts w:eastAsiaTheme="minorEastAsia"/>
          <w:b/>
          <w:sz w:val="28"/>
          <w:szCs w:val="28"/>
        </w:rPr>
        <w:br/>
      </w:r>
    </w:p>
    <w:sectPr w:rsidR="004E43A8" w:rsidRPr="004E43A8" w:rsidSect="0028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3637A"/>
    <w:rsid w:val="000C29C4"/>
    <w:rsid w:val="001F6949"/>
    <w:rsid w:val="002819A3"/>
    <w:rsid w:val="003C555A"/>
    <w:rsid w:val="004E43A8"/>
    <w:rsid w:val="00BF4237"/>
    <w:rsid w:val="00C25B3B"/>
    <w:rsid w:val="00D3637A"/>
    <w:rsid w:val="00EC5656"/>
    <w:rsid w:val="00F7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9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Лист1!$F$6:$F$36</c:f>
              <c:numCache>
                <c:formatCode>General</c:formatCode>
                <c:ptCount val="31"/>
                <c:pt idx="0">
                  <c:v>343</c:v>
                </c:pt>
                <c:pt idx="1">
                  <c:v>342</c:v>
                </c:pt>
                <c:pt idx="2">
                  <c:v>341</c:v>
                </c:pt>
                <c:pt idx="3">
                  <c:v>340</c:v>
                </c:pt>
                <c:pt idx="4">
                  <c:v>339</c:v>
                </c:pt>
                <c:pt idx="5">
                  <c:v>338</c:v>
                </c:pt>
                <c:pt idx="6">
                  <c:v>337</c:v>
                </c:pt>
                <c:pt idx="7">
                  <c:v>336</c:v>
                </c:pt>
                <c:pt idx="8">
                  <c:v>335</c:v>
                </c:pt>
                <c:pt idx="9">
                  <c:v>334</c:v>
                </c:pt>
                <c:pt idx="10">
                  <c:v>333</c:v>
                </c:pt>
                <c:pt idx="11">
                  <c:v>332</c:v>
                </c:pt>
                <c:pt idx="12">
                  <c:v>331</c:v>
                </c:pt>
                <c:pt idx="13">
                  <c:v>330</c:v>
                </c:pt>
                <c:pt idx="14">
                  <c:v>329</c:v>
                </c:pt>
                <c:pt idx="15">
                  <c:v>328</c:v>
                </c:pt>
                <c:pt idx="16">
                  <c:v>327</c:v>
                </c:pt>
                <c:pt idx="17">
                  <c:v>326</c:v>
                </c:pt>
                <c:pt idx="18">
                  <c:v>325</c:v>
                </c:pt>
                <c:pt idx="19">
                  <c:v>324</c:v>
                </c:pt>
                <c:pt idx="20">
                  <c:v>323</c:v>
                </c:pt>
                <c:pt idx="21">
                  <c:v>322</c:v>
                </c:pt>
                <c:pt idx="22">
                  <c:v>321</c:v>
                </c:pt>
                <c:pt idx="23">
                  <c:v>320</c:v>
                </c:pt>
                <c:pt idx="24">
                  <c:v>319</c:v>
                </c:pt>
                <c:pt idx="25">
                  <c:v>318</c:v>
                </c:pt>
                <c:pt idx="26">
                  <c:v>317</c:v>
                </c:pt>
                <c:pt idx="27">
                  <c:v>316</c:v>
                </c:pt>
                <c:pt idx="28">
                  <c:v>315</c:v>
                </c:pt>
                <c:pt idx="29">
                  <c:v>314</c:v>
                </c:pt>
                <c:pt idx="30">
                  <c:v>313</c:v>
                </c:pt>
              </c:numCache>
            </c:numRef>
          </c:xVal>
          <c:yVal>
            <c:numRef>
              <c:f>Лист1!$H$6:$H$36</c:f>
              <c:numCache>
                <c:formatCode>General</c:formatCode>
                <c:ptCount val="31"/>
                <c:pt idx="0">
                  <c:v>126</c:v>
                </c:pt>
                <c:pt idx="1">
                  <c:v>130.19999999999999</c:v>
                </c:pt>
                <c:pt idx="2">
                  <c:v>136.5</c:v>
                </c:pt>
                <c:pt idx="3">
                  <c:v>142.80000000000001</c:v>
                </c:pt>
                <c:pt idx="4">
                  <c:v>149.1</c:v>
                </c:pt>
                <c:pt idx="5">
                  <c:v>157.5</c:v>
                </c:pt>
                <c:pt idx="6">
                  <c:v>168</c:v>
                </c:pt>
                <c:pt idx="7">
                  <c:v>178.5</c:v>
                </c:pt>
                <c:pt idx="8">
                  <c:v>191.1</c:v>
                </c:pt>
                <c:pt idx="9">
                  <c:v>205.8</c:v>
                </c:pt>
                <c:pt idx="10">
                  <c:v>220.5</c:v>
                </c:pt>
                <c:pt idx="11">
                  <c:v>237.3</c:v>
                </c:pt>
                <c:pt idx="12">
                  <c:v>260.39999999999981</c:v>
                </c:pt>
                <c:pt idx="13">
                  <c:v>287.7</c:v>
                </c:pt>
                <c:pt idx="14">
                  <c:v>319.2</c:v>
                </c:pt>
                <c:pt idx="15">
                  <c:v>361.2</c:v>
                </c:pt>
                <c:pt idx="16">
                  <c:v>411.6</c:v>
                </c:pt>
                <c:pt idx="17">
                  <c:v>476.7</c:v>
                </c:pt>
                <c:pt idx="18">
                  <c:v>583.79999999999995</c:v>
                </c:pt>
                <c:pt idx="19">
                  <c:v>745</c:v>
                </c:pt>
                <c:pt idx="20">
                  <c:v>1024.8</c:v>
                </c:pt>
                <c:pt idx="21">
                  <c:v>1451.1</c:v>
                </c:pt>
                <c:pt idx="22">
                  <c:v>3040.8</c:v>
                </c:pt>
                <c:pt idx="23">
                  <c:v>9939.2999999999938</c:v>
                </c:pt>
                <c:pt idx="24">
                  <c:v>2081.1</c:v>
                </c:pt>
                <c:pt idx="25">
                  <c:v>1041.5</c:v>
                </c:pt>
                <c:pt idx="26">
                  <c:v>693</c:v>
                </c:pt>
                <c:pt idx="27">
                  <c:v>508.2</c:v>
                </c:pt>
                <c:pt idx="28">
                  <c:v>392.7</c:v>
                </c:pt>
                <c:pt idx="29">
                  <c:v>317.10000000000002</c:v>
                </c:pt>
                <c:pt idx="30">
                  <c:v>266.7</c:v>
                </c:pt>
              </c:numCache>
            </c:numRef>
          </c:yVal>
          <c:smooth val="1"/>
        </c:ser>
        <c:axId val="94176384"/>
        <c:axId val="94178304"/>
      </c:scatterChart>
      <c:valAx>
        <c:axId val="94176384"/>
        <c:scaling>
          <c:orientation val="minMax"/>
        </c:scaling>
        <c:axPos val="b"/>
        <c:numFmt formatCode="General" sourceLinked="1"/>
        <c:tickLblPos val="nextTo"/>
        <c:crossAx val="94178304"/>
        <c:crosses val="autoZero"/>
        <c:crossBetween val="midCat"/>
      </c:valAx>
      <c:valAx>
        <c:axId val="94178304"/>
        <c:scaling>
          <c:orientation val="minMax"/>
        </c:scaling>
        <c:axPos val="l"/>
        <c:majorGridlines/>
        <c:numFmt formatCode="General" sourceLinked="1"/>
        <c:tickLblPos val="nextTo"/>
        <c:crossAx val="9417638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xVal>
            <c:numRef>
              <c:f>Лист1!$F$6:$F$36</c:f>
              <c:numCache>
                <c:formatCode>General</c:formatCode>
                <c:ptCount val="31"/>
                <c:pt idx="0">
                  <c:v>343</c:v>
                </c:pt>
                <c:pt idx="1">
                  <c:v>342</c:v>
                </c:pt>
                <c:pt idx="2">
                  <c:v>341</c:v>
                </c:pt>
                <c:pt idx="3">
                  <c:v>340</c:v>
                </c:pt>
                <c:pt idx="4">
                  <c:v>339</c:v>
                </c:pt>
                <c:pt idx="5">
                  <c:v>338</c:v>
                </c:pt>
                <c:pt idx="6">
                  <c:v>337</c:v>
                </c:pt>
                <c:pt idx="7">
                  <c:v>336</c:v>
                </c:pt>
                <c:pt idx="8">
                  <c:v>335</c:v>
                </c:pt>
                <c:pt idx="9">
                  <c:v>334</c:v>
                </c:pt>
                <c:pt idx="10">
                  <c:v>333</c:v>
                </c:pt>
                <c:pt idx="11">
                  <c:v>332</c:v>
                </c:pt>
                <c:pt idx="12">
                  <c:v>331</c:v>
                </c:pt>
                <c:pt idx="13">
                  <c:v>330</c:v>
                </c:pt>
                <c:pt idx="14">
                  <c:v>329</c:v>
                </c:pt>
                <c:pt idx="15">
                  <c:v>328</c:v>
                </c:pt>
                <c:pt idx="16">
                  <c:v>327</c:v>
                </c:pt>
                <c:pt idx="17">
                  <c:v>326</c:v>
                </c:pt>
                <c:pt idx="18">
                  <c:v>325</c:v>
                </c:pt>
                <c:pt idx="19">
                  <c:v>324</c:v>
                </c:pt>
                <c:pt idx="20">
                  <c:v>323</c:v>
                </c:pt>
                <c:pt idx="21">
                  <c:v>322</c:v>
                </c:pt>
                <c:pt idx="22">
                  <c:v>321</c:v>
                </c:pt>
                <c:pt idx="23">
                  <c:v>320</c:v>
                </c:pt>
                <c:pt idx="24">
                  <c:v>319</c:v>
                </c:pt>
                <c:pt idx="25">
                  <c:v>318</c:v>
                </c:pt>
                <c:pt idx="26">
                  <c:v>317</c:v>
                </c:pt>
                <c:pt idx="27">
                  <c:v>316</c:v>
                </c:pt>
                <c:pt idx="28">
                  <c:v>315</c:v>
                </c:pt>
                <c:pt idx="29">
                  <c:v>314</c:v>
                </c:pt>
                <c:pt idx="30">
                  <c:v>313</c:v>
                </c:pt>
              </c:numCache>
            </c:numRef>
          </c:xVal>
          <c:yVal>
            <c:numRef>
              <c:f>Лист1!$I$6:$I$36</c:f>
              <c:numCache>
                <c:formatCode>General</c:formatCode>
                <c:ptCount val="31"/>
                <c:pt idx="0">
                  <c:v>7.94</c:v>
                </c:pt>
                <c:pt idx="1">
                  <c:v>7.68</c:v>
                </c:pt>
                <c:pt idx="2">
                  <c:v>7.33</c:v>
                </c:pt>
                <c:pt idx="3">
                  <c:v>7</c:v>
                </c:pt>
                <c:pt idx="4">
                  <c:v>6.71</c:v>
                </c:pt>
                <c:pt idx="5">
                  <c:v>6.35</c:v>
                </c:pt>
                <c:pt idx="6">
                  <c:v>5.96</c:v>
                </c:pt>
                <c:pt idx="7">
                  <c:v>5.6</c:v>
                </c:pt>
                <c:pt idx="8">
                  <c:v>5.23</c:v>
                </c:pt>
                <c:pt idx="9">
                  <c:v>4.8599999999999985</c:v>
                </c:pt>
                <c:pt idx="10">
                  <c:v>4.54</c:v>
                </c:pt>
                <c:pt idx="11">
                  <c:v>4.21</c:v>
                </c:pt>
                <c:pt idx="12">
                  <c:v>3.84</c:v>
                </c:pt>
                <c:pt idx="13">
                  <c:v>3.48</c:v>
                </c:pt>
                <c:pt idx="14">
                  <c:v>3.13</c:v>
                </c:pt>
                <c:pt idx="15">
                  <c:v>2.77</c:v>
                </c:pt>
                <c:pt idx="16">
                  <c:v>2.4299999999999997</c:v>
                </c:pt>
                <c:pt idx="17">
                  <c:v>2.1</c:v>
                </c:pt>
                <c:pt idx="18">
                  <c:v>1.71</c:v>
                </c:pt>
                <c:pt idx="19">
                  <c:v>1.34</c:v>
                </c:pt>
                <c:pt idx="20">
                  <c:v>0.97000000000000031</c:v>
                </c:pt>
                <c:pt idx="21">
                  <c:v>0.68</c:v>
                </c:pt>
                <c:pt idx="22">
                  <c:v>0.32000000000000017</c:v>
                </c:pt>
                <c:pt idx="23">
                  <c:v>0.1</c:v>
                </c:pt>
                <c:pt idx="24">
                  <c:v>0.48000000000000015</c:v>
                </c:pt>
                <c:pt idx="25">
                  <c:v>0.9600000000000003</c:v>
                </c:pt>
                <c:pt idx="26">
                  <c:v>1.44</c:v>
                </c:pt>
                <c:pt idx="27">
                  <c:v>1.9600000000000006</c:v>
                </c:pt>
                <c:pt idx="28">
                  <c:v>2.54</c:v>
                </c:pt>
                <c:pt idx="29">
                  <c:v>3.15</c:v>
                </c:pt>
                <c:pt idx="30">
                  <c:v>3.74</c:v>
                </c:pt>
              </c:numCache>
            </c:numRef>
          </c:yVal>
          <c:smooth val="1"/>
        </c:ser>
        <c:axId val="94347264"/>
        <c:axId val="94348800"/>
      </c:scatterChart>
      <c:valAx>
        <c:axId val="94347264"/>
        <c:scaling>
          <c:orientation val="minMax"/>
        </c:scaling>
        <c:axPos val="b"/>
        <c:numFmt formatCode="General" sourceLinked="1"/>
        <c:tickLblPos val="nextTo"/>
        <c:crossAx val="94348800"/>
        <c:crosses val="autoZero"/>
        <c:crossBetween val="midCat"/>
      </c:valAx>
      <c:valAx>
        <c:axId val="94348800"/>
        <c:scaling>
          <c:orientation val="minMax"/>
        </c:scaling>
        <c:axPos val="l"/>
        <c:majorGridlines/>
        <c:numFmt formatCode="General" sourceLinked="1"/>
        <c:tickLblPos val="nextTo"/>
        <c:crossAx val="9434726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2012-10-14T09:01:00Z</dcterms:created>
  <dcterms:modified xsi:type="dcterms:W3CDTF">2012-11-14T19:28:00Z</dcterms:modified>
</cp:coreProperties>
</file>