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58" w:rsidRPr="00475758" w:rsidRDefault="00475758" w:rsidP="0047575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20"/>
          <w:szCs w:val="20"/>
          <w:lang w:eastAsia="ru-RU"/>
        </w:rPr>
      </w:pP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Контрольные вопросы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1.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Архитектура объединенной транспортной платформы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ISDN/</w:t>
      </w:r>
      <w:proofErr w:type="spellStart"/>
      <w:r w:rsidRPr="00475758">
        <w:rPr>
          <w:rFonts w:ascii="ff2" w:eastAsia="Times New Roman" w:hAnsi="ff2" w:cs="Times New Roman"/>
          <w:color w:val="000000"/>
          <w:spacing w:val="-9"/>
          <w:sz w:val="20"/>
          <w:szCs w:val="20"/>
          <w:lang w:eastAsia="ru-RU"/>
        </w:rPr>
        <w:t>IP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.Концепция</w:t>
      </w:r>
      <w:proofErr w:type="spellEnd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 сети с </w:t>
      </w:r>
    </w:p>
    <w:p w:rsidR="00475758" w:rsidRPr="00475758" w:rsidRDefault="00475758" w:rsidP="0047575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20"/>
          <w:szCs w:val="20"/>
          <w:lang w:eastAsia="ru-RU"/>
        </w:rPr>
      </w:pP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интеграцией служб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ISDN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и мультимедийной </w:t>
      </w:r>
      <w:r w:rsidRPr="00475758">
        <w:rPr>
          <w:rFonts w:ascii="ff2" w:eastAsia="Times New Roman" w:hAnsi="ff2" w:cs="Times New Roman"/>
          <w:color w:val="000000"/>
          <w:spacing w:val="-17"/>
          <w:sz w:val="20"/>
          <w:szCs w:val="20"/>
          <w:lang w:eastAsia="ru-RU"/>
        </w:rPr>
        <w:t>IP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-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подсистемы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IMS. 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2.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Классификация систем сигнализаций. Сравнительная характеристика.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3.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Декадная и тональная абонентская сигнализации. Блок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-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схема алгоритма.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4.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Системы межстанционной сигнализации </w:t>
      </w:r>
      <w:proofErr w:type="spellStart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ТфОП</w:t>
      </w:r>
      <w:proofErr w:type="spellEnd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 РБ.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5.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Цифровая абонентская сигнализация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DSS-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1. Физический уровень.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6.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Цифровая абонентская сигнализация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DSS-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1. Уровень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LAPD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: формат и типы кадров.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7.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Цифровая абонентская сигнализация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DSS-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1. Уровень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LAPD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: процедуры.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8.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Межстанционная сигнализация. Принцип общеканальной сигнализации.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9.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Линейная аналоговая сигнализация R1.Блок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-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схема алгоритма.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10.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Линейная цифровая сигнализация R1.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11.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Обеспечение помехоустойчивости линейной сигнализации R1.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12.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Регистровая сигнализация R1. Блок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-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схема алгоритма.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13.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Обеспечение помехоустойчивости регистровой сигнализации R1.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14.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Сравнительная характеристика сигнализации из конца в конец и от линии к линии.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15.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Линейная аналоговая сигнализация R2. Блок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-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схема алгоритма.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16.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Линейная цифровая сигнализация R2.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17.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Обеспечение помехоустойчивости линейной сигнализации R2.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18.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Коды регистровой сигнализации R2.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19.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Процедура регистровой сигнализации R2.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20.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Обеспечение помехоустойчивости регистровой сигнализации R2.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21.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Архитектура и информационная модель ОКС №7.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22.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Форматы и назначение сигнальных единиц.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23.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Обнаружение ошибок в ОКС№7.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24.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Основная процедура исправления ошибок в ОКС№7.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25.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Превентивное циклическое повторение в ОКС№7.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26.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Процедура управления звеньями сигнализации. Вхождение в связь. Блок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-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схема </w:t>
      </w:r>
    </w:p>
    <w:p w:rsidR="00475758" w:rsidRPr="00475758" w:rsidRDefault="00475758" w:rsidP="0047575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20"/>
          <w:szCs w:val="20"/>
          <w:lang w:eastAsia="ru-RU"/>
        </w:rPr>
      </w:pP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алгоритма.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27.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Процедура управления звеньями сигнализации. Контроль ошибок звена сигнализации.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28.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Основные технические характеристики ОКС№7.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29.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Методы адресации сигнальных сообщений.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30.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Звено </w:t>
      </w:r>
      <w:proofErr w:type="gramStart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данных ,</w:t>
      </w:r>
      <w:proofErr w:type="gramEnd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 его назначение и основные функции.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31.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Звено сигнализации, его назначение и основные функции.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32.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Байт служебной </w:t>
      </w:r>
      <w:proofErr w:type="gramStart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информации 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SIO</w:t>
      </w:r>
      <w:proofErr w:type="gramEnd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, структура и его назначение.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33.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Формат сигнальных единиц состояния звена.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34.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Поле сигнальной информации, особенности структуры для подсистем пользователей.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35.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Функции сети сигнализации. Процедура обработки сигнальных сообщений. Блок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-</w:t>
      </w:r>
    </w:p>
    <w:p w:rsidR="00475758" w:rsidRPr="00475758" w:rsidRDefault="00475758" w:rsidP="0047575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20"/>
          <w:szCs w:val="20"/>
          <w:lang w:eastAsia="ru-RU"/>
        </w:rPr>
      </w:pP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схема алгоритма.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36.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Функции сети сигнализации. Процедура управления сетью. Блок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-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схема алгоритма.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37.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Маршрутизация в сети ОКС№7.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38.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Форматы и коды сообщений управления сетью сигнализации.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39.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Нумерация кодов международных пунктов сигнализации.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40.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Подсистема SCCP. Структура и назначение.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41.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Услуги, ориентированные и неориентированные на соединение. Классы протоколов.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42.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Адресация и маршрутизация сообщений </w:t>
      </w:r>
      <w:proofErr w:type="gramStart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SCCP .</w:t>
      </w:r>
      <w:proofErr w:type="gramEnd"/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43.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Форматы и коды сообщений SCCP.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44.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Подсистема ISUP. Назначение и услуги.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45.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Структура сообщений подсистемы ISUP.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46.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Классификация и назначение сообщений ISUP.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47.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Параметры сообщений ISUP.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48.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Установление соединений в сети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ISDN. 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49.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Взаимодействие аналоговой и общеканальной систем сигнализации.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50.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Взаимодействие абонентской и </w:t>
      </w:r>
      <w:proofErr w:type="gramStart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межстанционной  систем</w:t>
      </w:r>
      <w:proofErr w:type="gramEnd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 сигнализации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51.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Прикладная подсистема возможностей транзакций: ТСАР. Архитектура. Услуги и </w:t>
      </w:r>
    </w:p>
    <w:p w:rsidR="00475758" w:rsidRPr="00475758" w:rsidRDefault="00475758" w:rsidP="0047575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20"/>
          <w:szCs w:val="20"/>
          <w:lang w:eastAsia="ru-RU"/>
        </w:rPr>
      </w:pP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процедуры.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52.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Структура сообщений и форматы информационных элементов ТСАР.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53.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Прикладные подсистемы пользователей. Модель прикладных элементов </w:t>
      </w:r>
      <w:r w:rsidRPr="00475758">
        <w:rPr>
          <w:rFonts w:ascii="ff2" w:eastAsia="Times New Roman" w:hAnsi="ff2" w:cs="Times New Roman"/>
          <w:color w:val="000000"/>
          <w:spacing w:val="-1"/>
          <w:sz w:val="20"/>
          <w:szCs w:val="20"/>
          <w:lang w:eastAsia="ru-RU"/>
        </w:rPr>
        <w:t>AE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. 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54.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Подсистема пользователя интеллектуальной сети </w:t>
      </w:r>
      <w:r w:rsidRPr="00475758">
        <w:rPr>
          <w:rFonts w:ascii="ff2" w:eastAsia="Times New Roman" w:hAnsi="ff2" w:cs="Times New Roman"/>
          <w:color w:val="000000"/>
          <w:spacing w:val="-17"/>
          <w:sz w:val="20"/>
          <w:szCs w:val="20"/>
          <w:lang w:eastAsia="ru-RU"/>
        </w:rPr>
        <w:t>IN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. Прикладной протокол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INAP.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55.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Подсистема пользователей мобильных систем стандарта 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GSM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: МАР.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56.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Процедуры </w:t>
      </w:r>
      <w:proofErr w:type="spellStart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аутоидентификации</w:t>
      </w:r>
      <w:proofErr w:type="spellEnd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, обновления данных о местоположении и </w:t>
      </w:r>
    </w:p>
    <w:p w:rsidR="00475758" w:rsidRPr="00475758" w:rsidRDefault="00475758" w:rsidP="0047575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20"/>
          <w:szCs w:val="20"/>
          <w:lang w:eastAsia="ru-RU"/>
        </w:rPr>
      </w:pP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установления </w:t>
      </w:r>
      <w:proofErr w:type="spellStart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соединеения</w:t>
      </w:r>
      <w:proofErr w:type="spellEnd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57.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Подсистема эксплуатации и </w:t>
      </w:r>
      <w:proofErr w:type="spellStart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тех.обслуживания</w:t>
      </w:r>
      <w:proofErr w:type="spellEnd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 ОМАР. Назначение и модель </w:t>
      </w:r>
    </w:p>
    <w:p w:rsidR="00475758" w:rsidRPr="00475758" w:rsidRDefault="00475758" w:rsidP="0047575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20"/>
          <w:szCs w:val="20"/>
          <w:lang w:eastAsia="ru-RU"/>
        </w:rPr>
      </w:pP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управления.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58.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Принципы построения сети ОКС№7. Структура сети и режимы сигнализации.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59.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Особенности построения сети ОКС№7 на ГТС.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60.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Особенности построения сети ОКС№7 на </w:t>
      </w:r>
      <w:proofErr w:type="spellStart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внутризонновых</w:t>
      </w:r>
      <w:proofErr w:type="spellEnd"/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 и сельских сетях.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61.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Принципы взаимодействия сетей связи через ОКС№7.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62.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Расчет сигнальной нагрузки на звено сигнализации.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lastRenderedPageBreak/>
        <w:t>63.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Проектирование сети общеканальной сигнализации.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64.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Реализация ОКС№7 в цифровых системах коммутации.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2" w:eastAsia="Times New Roman" w:hAnsi="ff2" w:cs="Times New Roman"/>
          <w:color w:val="000000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65.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Архитектура сети </w:t>
      </w:r>
      <w:r>
        <w:rPr>
          <w:rFonts w:ascii="ff1" w:eastAsia="Times New Roman" w:hAnsi="ff1" w:cs="Times New Roman"/>
          <w:color w:val="000000"/>
          <w:sz w:val="20"/>
          <w:szCs w:val="20"/>
          <w:lang w:val="en-US" w:eastAsia="ru-RU"/>
        </w:rPr>
        <w:t>SIP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. Назначение и функции</w:t>
      </w:r>
      <w:r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 сетевых элементов</w:t>
      </w: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 xml:space="preserve"> 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000000"/>
          <w:spacing w:val="1"/>
          <w:sz w:val="20"/>
          <w:szCs w:val="20"/>
          <w:lang w:eastAsia="ru-RU"/>
        </w:rPr>
      </w:pPr>
      <w:r w:rsidRPr="00475758">
        <w:rPr>
          <w:rFonts w:ascii="ff2" w:eastAsia="Times New Roman" w:hAnsi="ff2" w:cs="Times New Roman"/>
          <w:color w:val="000000"/>
          <w:sz w:val="20"/>
          <w:szCs w:val="20"/>
          <w:lang w:eastAsia="ru-RU"/>
        </w:rPr>
        <w:t>66.</w:t>
      </w:r>
      <w:r w:rsidRPr="00475758">
        <w:rPr>
          <w:rFonts w:ascii="ff5" w:eastAsia="Times New Roman" w:hAnsi="ff5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ff1" w:eastAsia="Times New Roman" w:hAnsi="ff1" w:cs="Times New Roman"/>
          <w:color w:val="000000"/>
          <w:spacing w:val="1"/>
          <w:sz w:val="20"/>
          <w:szCs w:val="20"/>
          <w:lang w:eastAsia="ru-RU"/>
        </w:rPr>
        <w:t xml:space="preserve">Назначение и формат сообщений </w:t>
      </w:r>
      <w:r>
        <w:rPr>
          <w:rFonts w:ascii="ff1" w:eastAsia="Times New Roman" w:hAnsi="ff1" w:cs="Times New Roman"/>
          <w:color w:val="000000"/>
          <w:spacing w:val="1"/>
          <w:sz w:val="20"/>
          <w:szCs w:val="20"/>
          <w:lang w:val="en-US" w:eastAsia="ru-RU"/>
        </w:rPr>
        <w:t>SIP</w:t>
      </w:r>
      <w:r w:rsidRPr="00475758">
        <w:rPr>
          <w:rFonts w:ascii="ff1" w:eastAsia="Times New Roman" w:hAnsi="ff1" w:cs="Times New Roman"/>
          <w:color w:val="000000"/>
          <w:spacing w:val="1"/>
          <w:sz w:val="20"/>
          <w:szCs w:val="20"/>
          <w:lang w:eastAsia="ru-RU"/>
        </w:rPr>
        <w:t xml:space="preserve">. </w:t>
      </w:r>
      <w:r>
        <w:rPr>
          <w:rFonts w:ascii="ff1" w:eastAsia="Times New Roman" w:hAnsi="ff1" w:cs="Times New Roman"/>
          <w:color w:val="000000"/>
          <w:spacing w:val="1"/>
          <w:sz w:val="20"/>
          <w:szCs w:val="20"/>
          <w:lang w:eastAsia="ru-RU"/>
        </w:rPr>
        <w:t xml:space="preserve">Протокол </w:t>
      </w:r>
      <w:r>
        <w:rPr>
          <w:rFonts w:ascii="ff1" w:eastAsia="Times New Roman" w:hAnsi="ff1" w:cs="Times New Roman"/>
          <w:color w:val="000000"/>
          <w:spacing w:val="1"/>
          <w:sz w:val="20"/>
          <w:szCs w:val="20"/>
          <w:lang w:val="en-US" w:eastAsia="ru-RU"/>
        </w:rPr>
        <w:t>SDP</w:t>
      </w:r>
    </w:p>
    <w:p w:rsidR="00475758" w:rsidRPr="00475758" w:rsidRDefault="00475758" w:rsidP="00475758">
      <w:pPr>
        <w:shd w:val="clear" w:color="auto" w:fill="FFFFFF"/>
        <w:spacing w:after="0" w:line="240" w:lineRule="auto"/>
        <w:rPr>
          <w:rFonts w:ascii="ff1" w:eastAsia="Times New Roman" w:hAnsi="ff1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ff1" w:eastAsia="Times New Roman" w:hAnsi="ff1" w:cs="Times New Roman"/>
          <w:color w:val="000000"/>
          <w:spacing w:val="1"/>
          <w:sz w:val="20"/>
          <w:szCs w:val="20"/>
          <w:lang w:eastAsia="ru-RU"/>
        </w:rPr>
        <w:t xml:space="preserve">67. Методы адресации и лексическая структура сообщений </w:t>
      </w:r>
      <w:r>
        <w:rPr>
          <w:rFonts w:ascii="ff1" w:eastAsia="Times New Roman" w:hAnsi="ff1" w:cs="Times New Roman"/>
          <w:color w:val="000000"/>
          <w:spacing w:val="1"/>
          <w:sz w:val="20"/>
          <w:szCs w:val="20"/>
          <w:lang w:val="en-US" w:eastAsia="ru-RU"/>
        </w:rPr>
        <w:t>SIP</w:t>
      </w:r>
    </w:p>
    <w:p w:rsidR="00475758" w:rsidRDefault="00475758">
      <w:pPr>
        <w:rPr>
          <w:rFonts w:ascii="ff1" w:eastAsia="Times New Roman" w:hAnsi="ff1" w:cs="Times New Roman"/>
          <w:color w:val="000000"/>
          <w:sz w:val="20"/>
          <w:szCs w:val="20"/>
          <w:lang w:eastAsia="ru-RU"/>
        </w:rPr>
      </w:pP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68. </w:t>
      </w:r>
      <w:r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Установление </w:t>
      </w:r>
      <w:proofErr w:type="spellStart"/>
      <w:r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соединеней</w:t>
      </w:r>
      <w:proofErr w:type="spellEnd"/>
      <w:r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 по протоколу </w:t>
      </w:r>
      <w:r>
        <w:rPr>
          <w:rFonts w:ascii="ff1" w:eastAsia="Times New Roman" w:hAnsi="ff1" w:cs="Times New Roman"/>
          <w:color w:val="000000"/>
          <w:sz w:val="20"/>
          <w:szCs w:val="20"/>
          <w:lang w:val="en-US" w:eastAsia="ru-RU"/>
        </w:rPr>
        <w:t>SIP</w:t>
      </w:r>
      <w:r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 при обслуживании мультимедийных приложений</w:t>
      </w:r>
    </w:p>
    <w:p w:rsidR="00475758" w:rsidRPr="00475758" w:rsidRDefault="00475758">
      <w:pPr>
        <w:rPr>
          <w:rFonts w:ascii="ff1" w:eastAsia="Times New Roman" w:hAnsi="ff1" w:cs="Times New Roman"/>
          <w:color w:val="000000"/>
          <w:sz w:val="20"/>
          <w:szCs w:val="20"/>
          <w:lang w:eastAsia="ru-RU"/>
        </w:rPr>
      </w:pPr>
      <w:r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69. Конвертер протоколов систем сигнализации </w:t>
      </w:r>
      <w:r>
        <w:rPr>
          <w:rFonts w:ascii="ff1" w:eastAsia="Times New Roman" w:hAnsi="ff1" w:cs="Times New Roman"/>
          <w:color w:val="000000"/>
          <w:sz w:val="20"/>
          <w:szCs w:val="20"/>
          <w:lang w:val="en-US" w:eastAsia="ru-RU"/>
        </w:rPr>
        <w:t>ISUP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/</w:t>
      </w:r>
      <w:r>
        <w:rPr>
          <w:rFonts w:ascii="ff1" w:eastAsia="Times New Roman" w:hAnsi="ff1" w:cs="Times New Roman"/>
          <w:color w:val="000000"/>
          <w:sz w:val="20"/>
          <w:szCs w:val="20"/>
          <w:lang w:val="en-US" w:eastAsia="ru-RU"/>
        </w:rPr>
        <w:t>SIP</w:t>
      </w:r>
    </w:p>
    <w:p w:rsidR="00475758" w:rsidRPr="00475758" w:rsidRDefault="00475758">
      <w:pPr>
        <w:rPr>
          <w:rFonts w:ascii="ff1" w:eastAsia="Times New Roman" w:hAnsi="ff1" w:cs="Times New Roman"/>
          <w:color w:val="000000"/>
          <w:sz w:val="20"/>
          <w:szCs w:val="20"/>
          <w:lang w:eastAsia="ru-RU"/>
        </w:rPr>
      </w:pP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70. </w:t>
      </w:r>
      <w:r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 xml:space="preserve">Структура межсетевого шлюза транспортной платформы </w:t>
      </w:r>
      <w:r>
        <w:rPr>
          <w:rFonts w:ascii="ff1" w:eastAsia="Times New Roman" w:hAnsi="ff1" w:cs="Times New Roman"/>
          <w:color w:val="000000"/>
          <w:sz w:val="20"/>
          <w:szCs w:val="20"/>
          <w:lang w:val="en-US" w:eastAsia="ru-RU"/>
        </w:rPr>
        <w:t>ISDN</w:t>
      </w:r>
      <w:r w:rsidRPr="00475758">
        <w:rPr>
          <w:rFonts w:ascii="ff1" w:eastAsia="Times New Roman" w:hAnsi="ff1" w:cs="Times New Roman"/>
          <w:color w:val="000000"/>
          <w:sz w:val="20"/>
          <w:szCs w:val="20"/>
          <w:lang w:eastAsia="ru-RU"/>
        </w:rPr>
        <w:t>/</w:t>
      </w:r>
      <w:r>
        <w:rPr>
          <w:rFonts w:ascii="ff1" w:eastAsia="Times New Roman" w:hAnsi="ff1" w:cs="Times New Roman"/>
          <w:color w:val="000000"/>
          <w:sz w:val="20"/>
          <w:szCs w:val="20"/>
          <w:lang w:val="en-US" w:eastAsia="ru-RU"/>
        </w:rPr>
        <w:t>IP</w:t>
      </w:r>
    </w:p>
    <w:sectPr w:rsidR="00475758" w:rsidRPr="0047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58"/>
    <w:rsid w:val="00475758"/>
    <w:rsid w:val="00506F35"/>
    <w:rsid w:val="008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A5634-AC33-48E6-91F4-CBBF61A3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475758"/>
  </w:style>
  <w:style w:type="character" w:customStyle="1" w:styleId="ff4">
    <w:name w:val="ff4"/>
    <w:basedOn w:val="a0"/>
    <w:rsid w:val="00475758"/>
  </w:style>
  <w:style w:type="character" w:customStyle="1" w:styleId="a3">
    <w:name w:val="_"/>
    <w:basedOn w:val="a0"/>
    <w:rsid w:val="00475758"/>
  </w:style>
  <w:style w:type="character" w:customStyle="1" w:styleId="fs1">
    <w:name w:val="fs1"/>
    <w:basedOn w:val="a0"/>
    <w:rsid w:val="00475758"/>
  </w:style>
  <w:style w:type="character" w:customStyle="1" w:styleId="ff5">
    <w:name w:val="ff5"/>
    <w:basedOn w:val="a0"/>
    <w:rsid w:val="00475758"/>
  </w:style>
  <w:style w:type="character" w:customStyle="1" w:styleId="ff1">
    <w:name w:val="ff1"/>
    <w:basedOn w:val="a0"/>
    <w:rsid w:val="00475758"/>
  </w:style>
  <w:style w:type="character" w:customStyle="1" w:styleId="ls1">
    <w:name w:val="ls1"/>
    <w:basedOn w:val="a0"/>
    <w:rsid w:val="00475758"/>
  </w:style>
  <w:style w:type="character" w:customStyle="1" w:styleId="ls0">
    <w:name w:val="ls0"/>
    <w:basedOn w:val="a0"/>
    <w:rsid w:val="0047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8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7451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Полонский</dc:creator>
  <cp:keywords/>
  <dc:description/>
  <cp:lastModifiedBy>Олег Полонский</cp:lastModifiedBy>
  <cp:revision>2</cp:revision>
  <dcterms:created xsi:type="dcterms:W3CDTF">2017-03-20T14:46:00Z</dcterms:created>
  <dcterms:modified xsi:type="dcterms:W3CDTF">2017-03-20T14:52:00Z</dcterms:modified>
</cp:coreProperties>
</file>